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le"/>
      </w:pPr>
      <w:r>
        <w:drawing xmlns:a="http://schemas.openxmlformats.org/drawingml/2006/main">
          <wp:inline distT="0" distB="0" distL="0" distR="0">
            <wp:extent cx="3858768" cy="2575562"/>
            <wp:effectExtent l="0" t="0" r="0" b="0"/>
            <wp:docPr id="1073741825" name="officeArt object" descr="MEDPLEX pic for invit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MEDPLEX pic for invite.png" descr="MEDPLEX pic for invit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8768" cy="257556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 MEDPLEX</w:t>
      </w:r>
    </w:p>
    <w:p>
      <w:pPr>
        <w:pStyle w:val="Normal.0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5458 Town Center Road</w:t>
      </w:r>
    </w:p>
    <w:p>
      <w:pPr>
        <w:pStyle w:val="Heading 1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Boca Raton, Florida   33486</w:t>
      </w:r>
    </w:p>
    <w:p>
      <w:pPr>
        <w:pStyle w:val="Normal.0"/>
      </w:pPr>
      <w:r>
        <w:tab/>
        <w:tab/>
        <w:tab/>
        <w:tab/>
      </w:r>
    </w:p>
    <w:tbl>
      <w:tblPr>
        <w:tblW w:w="3378" w:type="dxa"/>
        <w:jc w:val="left"/>
        <w:tblInd w:w="315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57"/>
        <w:gridCol w:w="2521"/>
      </w:tblGrid>
      <w:tr>
        <w:tblPrEx>
          <w:shd w:val="clear" w:color="auto" w:fill="ced7e7"/>
        </w:tblPrEx>
        <w:trPr>
          <w:trHeight w:val="328" w:hRule="atLeast"/>
        </w:trPr>
        <w:tc>
          <w:tcPr>
            <w:tcW w:type="dxa" w:w="8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sz w:val="28"/>
                <w:szCs w:val="28"/>
                <w:shd w:val="nil" w:color="auto" w:fill="auto"/>
                <w:rtl w:val="0"/>
                <w:lang w:val="en-US"/>
              </w:rPr>
              <w:t>Suite</w:t>
            </w:r>
          </w:p>
        </w:tc>
        <w:tc>
          <w:tcPr>
            <w:tcW w:type="dxa" w:w="25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sz w:val="28"/>
                <w:szCs w:val="28"/>
                <w:shd w:val="nil" w:color="auto" w:fill="auto"/>
                <w:rtl w:val="0"/>
                <w:lang w:val="en-US"/>
              </w:rPr>
              <w:t>Size</w:t>
            </w:r>
          </w:p>
        </w:tc>
      </w:tr>
      <w:tr>
        <w:tblPrEx>
          <w:shd w:val="clear" w:color="auto" w:fill="ced7e7"/>
        </w:tblPrEx>
        <w:trPr>
          <w:trHeight w:val="328" w:hRule="atLeast"/>
        </w:trPr>
        <w:tc>
          <w:tcPr>
            <w:tcW w:type="dxa" w:w="8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sz w:val="28"/>
                <w:szCs w:val="28"/>
                <w:shd w:val="nil" w:color="auto" w:fill="auto"/>
                <w:rtl w:val="0"/>
                <w:lang w:val="en-US"/>
              </w:rPr>
              <w:t>15</w:t>
            </w:r>
          </w:p>
        </w:tc>
        <w:tc>
          <w:tcPr>
            <w:tcW w:type="dxa" w:w="25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sz w:val="28"/>
                <w:szCs w:val="28"/>
                <w:shd w:val="nil" w:color="auto" w:fill="auto"/>
                <w:rtl w:val="0"/>
                <w:lang w:val="en-US"/>
              </w:rPr>
              <w:t>994</w:t>
            </w:r>
          </w:p>
        </w:tc>
      </w:tr>
    </w:tbl>
    <w:p>
      <w:pPr>
        <w:pStyle w:val="Normal.0"/>
        <w:spacing w:line="240" w:lineRule="auto"/>
        <w:ind w:left="3048" w:hanging="3048"/>
        <w:jc w:val="left"/>
      </w:pPr>
    </w:p>
    <w:p>
      <w:pPr>
        <w:pStyle w:val="Normal.0"/>
        <w:spacing w:line="240" w:lineRule="auto"/>
        <w:ind w:left="2940" w:hanging="2940"/>
      </w:pPr>
    </w:p>
    <w:p>
      <w:pPr>
        <w:pStyle w:val="Normal.0"/>
      </w:pPr>
    </w:p>
    <w:p>
      <w:pPr>
        <w:pStyle w:val="Normal.0"/>
        <w:rPr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BASE RENT:</w:t>
      </w:r>
      <w:r>
        <w:rPr>
          <w:sz w:val="20"/>
          <w:szCs w:val="20"/>
          <w:rtl w:val="0"/>
        </w:rPr>
        <w:tab/>
        <w:tab/>
        <w:tab/>
        <w:t>$</w:t>
      </w:r>
      <w:r>
        <w:rPr>
          <w:sz w:val="20"/>
          <w:szCs w:val="20"/>
          <w:rtl w:val="0"/>
          <w:lang w:val="en-US"/>
        </w:rPr>
        <w:t>32</w:t>
      </w:r>
      <w:r>
        <w:rPr>
          <w:sz w:val="20"/>
          <w:szCs w:val="20"/>
          <w:rtl w:val="0"/>
          <w:lang w:val="en-US"/>
        </w:rPr>
        <w:t>.00  per rentable square foot; triple net</w:t>
      </w:r>
    </w:p>
    <w:p>
      <w:pPr>
        <w:pStyle w:val="Normal.0"/>
        <w:rPr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OPERATING EXPENSES</w:t>
      </w:r>
      <w:r>
        <w:rPr>
          <w:sz w:val="20"/>
          <w:szCs w:val="20"/>
          <w:rtl w:val="0"/>
          <w:lang w:val="en-US"/>
        </w:rPr>
        <w:t>:</w:t>
        <w:tab/>
        <w:t>$</w:t>
      </w:r>
      <w:r>
        <w:rPr>
          <w:sz w:val="20"/>
          <w:szCs w:val="20"/>
          <w:rtl w:val="0"/>
          <w:lang w:val="en-US"/>
        </w:rPr>
        <w:t>14.70</w:t>
      </w:r>
      <w:r>
        <w:rPr>
          <w:sz w:val="20"/>
          <w:szCs w:val="20"/>
          <w:rtl w:val="0"/>
          <w:lang w:val="en-US"/>
        </w:rPr>
        <w:t xml:space="preserve">  per rentable square foot </w:t>
      </w:r>
      <w:r>
        <w:rPr>
          <w:sz w:val="20"/>
          <w:szCs w:val="20"/>
          <w:rtl w:val="0"/>
          <w:lang w:val="en-US"/>
        </w:rPr>
        <w:t xml:space="preserve">– </w:t>
      </w:r>
      <w:r>
        <w:rPr>
          <w:sz w:val="20"/>
          <w:szCs w:val="20"/>
          <w:rtl w:val="0"/>
          <w:lang w:val="en-US"/>
        </w:rPr>
        <w:t>202</w:t>
      </w:r>
      <w:r>
        <w:rPr>
          <w:sz w:val="20"/>
          <w:szCs w:val="20"/>
          <w:rtl w:val="0"/>
          <w:lang w:val="en-US"/>
        </w:rPr>
        <w:t xml:space="preserve">6 </w:t>
      </w:r>
      <w:r>
        <w:rPr>
          <w:sz w:val="20"/>
          <w:szCs w:val="20"/>
          <w:rtl w:val="0"/>
          <w:lang w:val="en-US"/>
        </w:rPr>
        <w:t>estimate</w:t>
      </w:r>
    </w:p>
    <w:p>
      <w:pPr>
        <w:pStyle w:val="Normal.0"/>
        <w:rPr>
          <w:sz w:val="20"/>
          <w:szCs w:val="20"/>
        </w:rPr>
      </w:pPr>
      <w:r>
        <w:rPr>
          <w:sz w:val="20"/>
          <w:szCs w:val="20"/>
          <w:rtl w:val="0"/>
        </w:rPr>
        <w:tab/>
        <w:tab/>
        <w:tab/>
        <w:tab/>
        <w:t>(includes common area maintenance, property</w:t>
      </w:r>
    </w:p>
    <w:p>
      <w:pPr>
        <w:pStyle w:val="Normal.0"/>
        <w:rPr>
          <w:sz w:val="20"/>
          <w:szCs w:val="20"/>
        </w:rPr>
      </w:pPr>
      <w:r>
        <w:rPr>
          <w:sz w:val="20"/>
          <w:szCs w:val="20"/>
          <w:rtl w:val="0"/>
        </w:rPr>
        <w:tab/>
        <w:tab/>
        <w:tab/>
        <w:tab/>
        <w:t>taxes &amp; insurance)</w:t>
      </w:r>
    </w:p>
    <w:p>
      <w:pPr>
        <w:pStyle w:val="Normal.0"/>
        <w:ind w:left="2880" w:firstLine="0"/>
        <w:rPr>
          <w:sz w:val="20"/>
          <w:szCs w:val="20"/>
        </w:rPr>
      </w:pPr>
      <w:r>
        <w:rPr>
          <w:sz w:val="20"/>
          <w:szCs w:val="20"/>
          <w:rtl w:val="0"/>
          <w:lang w:val="en-US"/>
        </w:rPr>
        <w:t>Tenant electricity is separately metered and billed directly by FPL.</w:t>
      </w:r>
    </w:p>
    <w:p>
      <w:pPr>
        <w:pStyle w:val="Normal.0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ANNUAL BASE </w:t>
      </w:r>
    </w:p>
    <w:p>
      <w:pPr>
        <w:pStyle w:val="Normal.0"/>
        <w:rPr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RENT ESCALATION:</w:t>
      </w:r>
      <w:r>
        <w:rPr>
          <w:sz w:val="20"/>
          <w:szCs w:val="20"/>
        </w:rPr>
        <w:tab/>
        <w:tab/>
      </w:r>
      <w:r>
        <w:rPr>
          <w:sz w:val="20"/>
          <w:szCs w:val="20"/>
          <w:rtl w:val="0"/>
          <w:lang w:val="en-US"/>
        </w:rPr>
        <w:t>Four</w:t>
      </w:r>
      <w:r>
        <w:rPr>
          <w:sz w:val="20"/>
          <w:szCs w:val="20"/>
          <w:rtl w:val="0"/>
          <w:lang w:val="en-US"/>
        </w:rPr>
        <w:t xml:space="preserve"> percent (</w:t>
      </w:r>
      <w:r>
        <w:rPr>
          <w:sz w:val="20"/>
          <w:szCs w:val="20"/>
          <w:rtl w:val="0"/>
          <w:lang w:val="en-US"/>
        </w:rPr>
        <w:t>4</w:t>
      </w:r>
      <w:r>
        <w:rPr>
          <w:sz w:val="20"/>
          <w:szCs w:val="20"/>
          <w:rtl w:val="0"/>
          <w:lang w:val="en-US"/>
        </w:rPr>
        <w:t>%)</w:t>
      </w:r>
    </w:p>
    <w:p>
      <w:pPr>
        <w:pStyle w:val="Normal.0"/>
        <w:rPr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CONDITION OF  PREMISES</w:t>
      </w:r>
      <w:r>
        <w:rPr>
          <w:sz w:val="20"/>
          <w:szCs w:val="20"/>
          <w:rtl w:val="0"/>
          <w:lang w:val="en-US"/>
        </w:rPr>
        <w:t>:</w:t>
        <w:tab/>
        <w:t>See attached  floor plan.</w:t>
      </w:r>
    </w:p>
    <w:p>
      <w:pPr>
        <w:pStyle w:val="Normal.0"/>
        <w:rPr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PARKING:</w:t>
      </w:r>
      <w:r>
        <w:rPr>
          <w:sz w:val="20"/>
          <w:szCs w:val="20"/>
          <w:rtl w:val="0"/>
        </w:rPr>
        <w:tab/>
        <w:tab/>
        <w:tab/>
        <w:t>Surface parking and garage parking is available at no charge.</w:t>
        <w:tab/>
        <w:tab/>
        <w:tab/>
        <w:tab/>
        <w:tab/>
        <w:tab/>
      </w:r>
    </w:p>
    <w:p>
      <w:pPr>
        <w:pStyle w:val="Normal.0"/>
        <w:ind w:left="2160" w:firstLine="720"/>
        <w:rPr>
          <w:sz w:val="18"/>
          <w:szCs w:val="18"/>
        </w:rPr>
      </w:pPr>
      <w:r>
        <w:rPr>
          <w:b w:val="1"/>
          <w:bCs w:val="1"/>
          <w:sz w:val="18"/>
          <w:szCs w:val="18"/>
          <w:rtl w:val="0"/>
          <w:lang w:val="en-US"/>
        </w:rPr>
        <w:t>FOR LEASING INFORMATION CONTACT:</w:t>
        <w:tab/>
        <w:tab/>
      </w:r>
      <w:r>
        <w:rPr>
          <w:sz w:val="18"/>
          <w:szCs w:val="18"/>
        </w:rPr>
        <w:tab/>
      </w:r>
    </w:p>
    <w:p>
      <w:pPr>
        <w:pStyle w:val="Normal.0"/>
        <w:ind w:left="2160" w:firstLine="720"/>
        <w:rPr>
          <w:sz w:val="18"/>
          <w:szCs w:val="18"/>
        </w:rPr>
      </w:pPr>
      <w:r>
        <w:rPr>
          <w:sz w:val="18"/>
          <w:szCs w:val="18"/>
          <w:rtl w:val="0"/>
          <w:lang w:val="en-US"/>
        </w:rPr>
        <w:t>COLDWELL BANKER COMMERCIAL</w:t>
      </w:r>
    </w:p>
    <w:p>
      <w:pPr>
        <w:pStyle w:val="Normal.0"/>
        <w:rPr>
          <w:sz w:val="18"/>
          <w:szCs w:val="18"/>
        </w:rPr>
      </w:pPr>
      <w:r>
        <w:rPr>
          <w:sz w:val="18"/>
          <w:szCs w:val="18"/>
          <w:rtl w:val="0"/>
        </w:rPr>
        <w:tab/>
        <w:tab/>
        <w:tab/>
        <w:tab/>
        <w:t>Ingrid Fulmer 561-479-5970</w:t>
      </w:r>
    </w:p>
    <w:p>
      <w:pPr>
        <w:pStyle w:val="Normal.0"/>
        <w:ind w:left="2160" w:firstLine="720"/>
      </w:pPr>
      <w:r>
        <w:rPr>
          <w:sz w:val="16"/>
          <w:szCs w:val="16"/>
          <w:rtl w:val="0"/>
          <w:lang w:val="en-US"/>
        </w:rPr>
        <w:t>SUBJECT TO WITHDRAWAL, CHANGE OR PRIOR RENTAL</w:t>
      </w:r>
    </w:p>
    <w:sectPr>
      <w:headerReference w:type="default" r:id="rId5"/>
      <w:footerReference w:type="default" r:id="rId6"/>
      <w:pgSz w:w="12240" w:h="15840" w:orient="portrait"/>
      <w:pgMar w:top="1440" w:right="1800" w:bottom="1440" w:left="180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itle">
    <w:name w:val="Title"/>
    <w:next w:val="Title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360" w:lineRule="atLeast"/>
      <w:ind w:left="0" w:right="0" w:firstLine="0"/>
      <w:jc w:val="center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2"/>
      <w:szCs w:val="32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360" w:lineRule="atLeast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Heading 1">
    <w:name w:val="Heading 1"/>
    <w:next w:val="Normal.0"/>
    <w:pPr>
      <w:keepNext w:val="1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360" w:lineRule="atLeast"/>
      <w:ind w:left="0" w:right="0" w:firstLine="0"/>
      <w:jc w:val="center"/>
      <w:outlineLvl w:val="0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singl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